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5C" w:rsidRDefault="002E115C" w:rsidP="005D1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8FB" w:rsidRDefault="00E968FB" w:rsidP="002E1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PANEVEŽ</w:t>
      </w:r>
      <w:r w:rsidR="002E115C" w:rsidRPr="0086404D">
        <w:rPr>
          <w:rFonts w:ascii="Times New Roman" w:hAnsi="Times New Roman" w:cs="Times New Roman"/>
          <w:b/>
          <w:sz w:val="24"/>
          <w:szCs w:val="24"/>
        </w:rPr>
        <w:t xml:space="preserve">IO MIESTO LOPŠELIO-DARŽELIO „RIEŠUTĖLIS“ PASIRENGIMO DIEGTI ATNAUJINTĄ UGDYMO TURINĮ </w:t>
      </w:r>
    </w:p>
    <w:p w:rsidR="002E115C" w:rsidRDefault="002E115C" w:rsidP="002E1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4D">
        <w:rPr>
          <w:rFonts w:ascii="Times New Roman" w:hAnsi="Times New Roman" w:cs="Times New Roman"/>
          <w:b/>
          <w:sz w:val="24"/>
          <w:szCs w:val="24"/>
        </w:rPr>
        <w:t>2022-2024 METŲ VEIKSMŲ PLANAS</w:t>
      </w:r>
    </w:p>
    <w:p w:rsidR="0086404D" w:rsidRDefault="0086404D" w:rsidP="002E1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5C" w:rsidRDefault="002E115C" w:rsidP="002E1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5C">
        <w:rPr>
          <w:rFonts w:ascii="Times New Roman" w:hAnsi="Times New Roman" w:cs="Times New Roman"/>
          <w:sz w:val="24"/>
          <w:szCs w:val="24"/>
        </w:rPr>
        <w:t xml:space="preserve"> </w:t>
      </w:r>
      <w:r w:rsidRPr="002E115C">
        <w:rPr>
          <w:rFonts w:ascii="Times New Roman" w:hAnsi="Times New Roman" w:cs="Times New Roman"/>
          <w:b/>
          <w:sz w:val="24"/>
          <w:szCs w:val="24"/>
        </w:rPr>
        <w:t xml:space="preserve">Tikslas </w:t>
      </w:r>
      <w:r w:rsidRPr="002E115C">
        <w:rPr>
          <w:rFonts w:ascii="Times New Roman" w:hAnsi="Times New Roman" w:cs="Times New Roman"/>
          <w:sz w:val="24"/>
          <w:szCs w:val="24"/>
        </w:rPr>
        <w:t>— pasiruošti sėkmingam priešmokyklinio ugdymo turinio atnaujinim</w:t>
      </w:r>
      <w:r w:rsidR="0086404D">
        <w:rPr>
          <w:rFonts w:ascii="Times New Roman" w:hAnsi="Times New Roman" w:cs="Times New Roman"/>
          <w:sz w:val="24"/>
          <w:szCs w:val="24"/>
        </w:rPr>
        <w:t>o (toliau — PUTA) įgyvendinimui</w:t>
      </w:r>
      <w:r w:rsidRPr="002E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04D" w:rsidRPr="002E115C" w:rsidRDefault="0086404D" w:rsidP="002E1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5C" w:rsidRPr="002E115C" w:rsidRDefault="002E115C" w:rsidP="002E1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15C">
        <w:rPr>
          <w:rFonts w:ascii="Times New Roman" w:hAnsi="Times New Roman" w:cs="Times New Roman"/>
          <w:b/>
          <w:sz w:val="24"/>
          <w:szCs w:val="24"/>
        </w:rPr>
        <w:t xml:space="preserve">Uždaviniai: </w:t>
      </w:r>
    </w:p>
    <w:p w:rsidR="002E115C" w:rsidRPr="002E115C" w:rsidRDefault="002E115C" w:rsidP="002E1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5C">
        <w:rPr>
          <w:rFonts w:ascii="Times New Roman" w:hAnsi="Times New Roman" w:cs="Times New Roman"/>
          <w:sz w:val="24"/>
          <w:szCs w:val="24"/>
        </w:rPr>
        <w:t xml:space="preserve">1. Įsivertinti situaciją dėl PUTA </w:t>
      </w:r>
    </w:p>
    <w:p w:rsidR="002E115C" w:rsidRPr="002E115C" w:rsidRDefault="002E115C" w:rsidP="002E1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5C">
        <w:rPr>
          <w:rFonts w:ascii="Times New Roman" w:hAnsi="Times New Roman" w:cs="Times New Roman"/>
          <w:sz w:val="24"/>
          <w:szCs w:val="24"/>
        </w:rPr>
        <w:t>2. Sudaryti palankias sąlygas PUTA diegimui.</w:t>
      </w:r>
    </w:p>
    <w:p w:rsidR="002E115C" w:rsidRPr="002E115C" w:rsidRDefault="002E115C" w:rsidP="002E1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5C">
        <w:rPr>
          <w:rFonts w:ascii="Times New Roman" w:hAnsi="Times New Roman" w:cs="Times New Roman"/>
          <w:sz w:val="24"/>
          <w:szCs w:val="24"/>
        </w:rPr>
        <w:t xml:space="preserve"> 3. Organizuoti PUTA proceso veiklų sklaidą įstaigoje.</w:t>
      </w:r>
    </w:p>
    <w:p w:rsidR="002E115C" w:rsidRDefault="002E115C" w:rsidP="002E1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5C">
        <w:rPr>
          <w:rFonts w:ascii="Times New Roman" w:hAnsi="Times New Roman" w:cs="Times New Roman"/>
          <w:sz w:val="24"/>
          <w:szCs w:val="24"/>
        </w:rPr>
        <w:t xml:space="preserve"> 4. Vykdyti pasiruošimo proceso stebėsen</w:t>
      </w:r>
      <w:r>
        <w:rPr>
          <w:rFonts w:ascii="Times New Roman" w:hAnsi="Times New Roman" w:cs="Times New Roman"/>
          <w:sz w:val="24"/>
          <w:szCs w:val="24"/>
        </w:rPr>
        <w:t>ą.</w:t>
      </w:r>
    </w:p>
    <w:p w:rsidR="002E115C" w:rsidRDefault="002E115C" w:rsidP="002E1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5C" w:rsidRDefault="002E115C" w:rsidP="002E11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3"/>
        <w:gridCol w:w="3452"/>
        <w:gridCol w:w="2286"/>
        <w:gridCol w:w="1633"/>
        <w:gridCol w:w="1790"/>
        <w:gridCol w:w="3709"/>
      </w:tblGrid>
      <w:tr w:rsidR="002E115C" w:rsidTr="005D14AD">
        <w:tc>
          <w:tcPr>
            <w:tcW w:w="1123" w:type="dxa"/>
          </w:tcPr>
          <w:p w:rsidR="002E115C" w:rsidRPr="005E219B" w:rsidRDefault="002E115C" w:rsidP="005E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219B">
              <w:rPr>
                <w:rFonts w:ascii="Times New Roman" w:hAnsi="Times New Roman" w:cs="Times New Roman"/>
                <w:b/>
                <w:sz w:val="28"/>
                <w:szCs w:val="28"/>
              </w:rPr>
              <w:t>Eil.Nr</w:t>
            </w:r>
            <w:proofErr w:type="spellEnd"/>
            <w:r w:rsidRPr="005E21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52" w:type="dxa"/>
          </w:tcPr>
          <w:p w:rsidR="002E115C" w:rsidRPr="005E219B" w:rsidRDefault="002E115C" w:rsidP="005E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9B">
              <w:rPr>
                <w:rFonts w:ascii="Times New Roman" w:hAnsi="Times New Roman" w:cs="Times New Roman"/>
                <w:b/>
                <w:sz w:val="28"/>
                <w:szCs w:val="28"/>
              </w:rPr>
              <w:t>Priemonės</w:t>
            </w:r>
          </w:p>
        </w:tc>
        <w:tc>
          <w:tcPr>
            <w:tcW w:w="2286" w:type="dxa"/>
          </w:tcPr>
          <w:p w:rsidR="002E115C" w:rsidRPr="005E219B" w:rsidRDefault="002E115C" w:rsidP="005E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9B">
              <w:rPr>
                <w:rFonts w:ascii="Times New Roman" w:hAnsi="Times New Roman" w:cs="Times New Roman"/>
                <w:b/>
                <w:sz w:val="28"/>
                <w:szCs w:val="28"/>
              </w:rPr>
              <w:t>Terminas</w:t>
            </w:r>
          </w:p>
        </w:tc>
        <w:tc>
          <w:tcPr>
            <w:tcW w:w="1633" w:type="dxa"/>
          </w:tcPr>
          <w:p w:rsidR="002E115C" w:rsidRPr="005E219B" w:rsidRDefault="002E115C" w:rsidP="005E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9B">
              <w:rPr>
                <w:rFonts w:ascii="Times New Roman" w:hAnsi="Times New Roman" w:cs="Times New Roman"/>
                <w:b/>
                <w:sz w:val="28"/>
                <w:szCs w:val="28"/>
              </w:rPr>
              <w:t>Ištekliai</w:t>
            </w:r>
          </w:p>
        </w:tc>
        <w:tc>
          <w:tcPr>
            <w:tcW w:w="1790" w:type="dxa"/>
          </w:tcPr>
          <w:p w:rsidR="002E115C" w:rsidRPr="005E219B" w:rsidRDefault="002E115C" w:rsidP="005E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9B">
              <w:rPr>
                <w:rFonts w:ascii="Times New Roman" w:hAnsi="Times New Roman" w:cs="Times New Roman"/>
                <w:b/>
                <w:sz w:val="28"/>
                <w:szCs w:val="28"/>
              </w:rPr>
              <w:t>Atsakingi vykdytojai</w:t>
            </w:r>
          </w:p>
        </w:tc>
        <w:tc>
          <w:tcPr>
            <w:tcW w:w="3709" w:type="dxa"/>
          </w:tcPr>
          <w:p w:rsidR="002E115C" w:rsidRPr="005E219B" w:rsidRDefault="002E115C" w:rsidP="005E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9B">
              <w:rPr>
                <w:rFonts w:ascii="Times New Roman" w:hAnsi="Times New Roman" w:cs="Times New Roman"/>
                <w:b/>
                <w:sz w:val="28"/>
                <w:szCs w:val="28"/>
              </w:rPr>
              <w:t>Laukiamas rezultatas</w:t>
            </w:r>
          </w:p>
        </w:tc>
      </w:tr>
      <w:tr w:rsidR="005E219B" w:rsidTr="000705EC">
        <w:tc>
          <w:tcPr>
            <w:tcW w:w="13993" w:type="dxa"/>
            <w:gridSpan w:val="6"/>
          </w:tcPr>
          <w:p w:rsidR="005E219B" w:rsidRDefault="005E219B" w:rsidP="002E1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b/>
                <w:sz w:val="24"/>
                <w:szCs w:val="24"/>
              </w:rPr>
              <w:t>1 uždavinys. Įsivertinti situaciją dėl PUTA</w:t>
            </w:r>
          </w:p>
          <w:p w:rsidR="005D14AD" w:rsidRPr="0086404D" w:rsidRDefault="005D14AD" w:rsidP="002E1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5C" w:rsidRPr="0086404D" w:rsidTr="005D14AD">
        <w:tc>
          <w:tcPr>
            <w:tcW w:w="1123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52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Situacijos analizė – aptarimas. Mokytojų tarybos posėdis dėl PUTA įgyvendinimo, plano patvirtinimo</w:t>
            </w:r>
          </w:p>
        </w:tc>
        <w:tc>
          <w:tcPr>
            <w:tcW w:w="2286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Iki 2022 m rugsėjo 30 d</w:t>
            </w:r>
          </w:p>
        </w:tc>
        <w:tc>
          <w:tcPr>
            <w:tcW w:w="1633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90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</w:t>
            </w:r>
          </w:p>
        </w:tc>
        <w:tc>
          <w:tcPr>
            <w:tcW w:w="3709" w:type="dxa"/>
          </w:tcPr>
          <w:p w:rsidR="002E115C" w:rsidRPr="0086404D" w:rsidRDefault="002E115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5C" w:rsidRPr="0086404D" w:rsidTr="005D14AD">
        <w:tc>
          <w:tcPr>
            <w:tcW w:w="1123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52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Ugdymo turinio analizė atsižvelgiant į priešmokyklinio ugdymo programos rekomendacijas.</w:t>
            </w:r>
          </w:p>
        </w:tc>
        <w:tc>
          <w:tcPr>
            <w:tcW w:w="2286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Iki 2022 m. gruodžio 31 d.</w:t>
            </w:r>
          </w:p>
        </w:tc>
        <w:tc>
          <w:tcPr>
            <w:tcW w:w="1633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90" w:type="dxa"/>
          </w:tcPr>
          <w:p w:rsidR="005D14AD" w:rsidRDefault="005D14A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2E115C" w:rsidRPr="0086404D" w:rsidRDefault="005D14A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E219B"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irektoriaus pavaduotoja ugdymui, metodinė grupė, </w:t>
            </w:r>
            <w:proofErr w:type="spellStart"/>
            <w:r w:rsidR="005E219B" w:rsidRPr="0086404D">
              <w:rPr>
                <w:rFonts w:ascii="Times New Roman" w:hAnsi="Times New Roman" w:cs="Times New Roman"/>
                <w:sz w:val="24"/>
                <w:szCs w:val="24"/>
              </w:rPr>
              <w:t>priešmokyklin</w:t>
            </w:r>
            <w:proofErr w:type="spellEnd"/>
            <w:r w:rsidR="005E219B"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19B" w:rsidRPr="0086404D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="005E219B"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 ugdymo mokytojai</w:t>
            </w:r>
          </w:p>
        </w:tc>
        <w:tc>
          <w:tcPr>
            <w:tcW w:w="3709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Metodinėje grupėje analizuojamas PUTA, numatomi ugdymo turinio planavimo ir vertinimo strateginiai žingsniai, numatomos preliminarios planavimo ir vertinimo formos. Visi mokytojai susipažins su PUTA.</w:t>
            </w:r>
          </w:p>
        </w:tc>
      </w:tr>
      <w:tr w:rsidR="002E115C" w:rsidRPr="0086404D" w:rsidTr="005D14AD">
        <w:tc>
          <w:tcPr>
            <w:tcW w:w="1123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52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grupių tėvų supažindinimas su PUTA įgyvendinimu. </w:t>
            </w:r>
          </w:p>
        </w:tc>
        <w:tc>
          <w:tcPr>
            <w:tcW w:w="2286" w:type="dxa"/>
          </w:tcPr>
          <w:p w:rsidR="002E115C" w:rsidRPr="0086404D" w:rsidRDefault="005D14A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2022 m. rugsėjo 30</w:t>
            </w:r>
            <w:r w:rsidR="005E219B"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633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90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Direktorius, </w:t>
            </w:r>
            <w:proofErr w:type="spellStart"/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priešmokyklin</w:t>
            </w:r>
            <w:proofErr w:type="spellEnd"/>
            <w:r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 ugdymo mokytojai</w:t>
            </w:r>
          </w:p>
        </w:tc>
        <w:tc>
          <w:tcPr>
            <w:tcW w:w="3709" w:type="dxa"/>
          </w:tcPr>
          <w:p w:rsidR="002E115C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Tėvų susirinkimų metu ir individualiu bendravimu su priešmokyklinio ugdymo mokytojais, tėvai susipažins su </w:t>
            </w:r>
            <w:r w:rsidRPr="0086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PUTA įgyvendinimu, supras ugdymo turinio ir vertinimo aspektus, svarbą</w:t>
            </w:r>
          </w:p>
        </w:tc>
      </w:tr>
      <w:tr w:rsidR="005E219B" w:rsidRPr="0086404D" w:rsidTr="004D0EF1">
        <w:tc>
          <w:tcPr>
            <w:tcW w:w="13993" w:type="dxa"/>
            <w:gridSpan w:val="6"/>
          </w:tcPr>
          <w:p w:rsidR="00E540FC" w:rsidRPr="005D14AD" w:rsidRDefault="00E540FC" w:rsidP="00E5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uždavinys.  Sudaryti </w:t>
            </w:r>
            <w:r w:rsidR="005D14AD">
              <w:rPr>
                <w:rFonts w:ascii="Times New Roman" w:hAnsi="Times New Roman" w:cs="Times New Roman"/>
                <w:b/>
                <w:sz w:val="24"/>
                <w:szCs w:val="24"/>
              </w:rPr>
              <w:t>palankias sąlygas PUTA diegimui</w:t>
            </w:r>
          </w:p>
          <w:p w:rsidR="005E219B" w:rsidRPr="0086404D" w:rsidRDefault="005E219B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5C" w:rsidRPr="0086404D" w:rsidTr="005D14AD">
        <w:tc>
          <w:tcPr>
            <w:tcW w:w="1123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52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Pedagogų kompetencijų tobulinimas dalyvaujant išoriniuose mokymuose.</w:t>
            </w:r>
          </w:p>
        </w:tc>
        <w:tc>
          <w:tcPr>
            <w:tcW w:w="2286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Iki 2023 m. gruodžio 31 d</w:t>
            </w:r>
          </w:p>
        </w:tc>
        <w:tc>
          <w:tcPr>
            <w:tcW w:w="1633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Žmogiškieji ir finansiniai ištekliai.</w:t>
            </w:r>
          </w:p>
        </w:tc>
        <w:tc>
          <w:tcPr>
            <w:tcW w:w="1790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ugdymui, metodinė grupė</w:t>
            </w:r>
          </w:p>
        </w:tc>
        <w:tc>
          <w:tcPr>
            <w:tcW w:w="3709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Atsižvelgiant į turimus įstaigos finansinius resursus bei organizuojamų mokymų pasiūlą, mokytojai ir vadovai dalyvauja kvalifikaciniuose renginiuose, mokymuose, konferencijose apie PUTA.</w:t>
            </w:r>
          </w:p>
        </w:tc>
      </w:tr>
      <w:tr w:rsidR="002E115C" w:rsidRPr="0086404D" w:rsidTr="005D14AD">
        <w:tc>
          <w:tcPr>
            <w:tcW w:w="1123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52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Ugdymo aplinkų ir priemonių atnaujinimas.</w:t>
            </w:r>
          </w:p>
        </w:tc>
        <w:tc>
          <w:tcPr>
            <w:tcW w:w="2286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Iki 2023 m. rugpjūčio 31 d</w:t>
            </w:r>
          </w:p>
        </w:tc>
        <w:tc>
          <w:tcPr>
            <w:tcW w:w="1633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Žmogiškieji ir finansiniai ištekliai.</w:t>
            </w:r>
          </w:p>
        </w:tc>
        <w:tc>
          <w:tcPr>
            <w:tcW w:w="1790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Direktorius, direktori</w:t>
            </w:r>
            <w:r w:rsidR="005D14AD">
              <w:rPr>
                <w:rFonts w:ascii="Times New Roman" w:hAnsi="Times New Roman" w:cs="Times New Roman"/>
                <w:sz w:val="24"/>
                <w:szCs w:val="24"/>
              </w:rPr>
              <w:t>aus pavaduotoja ugdymui, ūkvedė, priešmokyklinio ugdymo mokytojai</w:t>
            </w:r>
          </w:p>
        </w:tc>
        <w:tc>
          <w:tcPr>
            <w:tcW w:w="3709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Atsižvelgiant į turimus įstaigos finansinius resursus, atnaujintos lauko ir vidaus ugdymo aplinkos PUTA įgyvendinimui. Edukacinių erdvių</w:t>
            </w:r>
            <w:r w:rsidR="005D14AD">
              <w:rPr>
                <w:rFonts w:ascii="Times New Roman" w:hAnsi="Times New Roman" w:cs="Times New Roman"/>
                <w:sz w:val="24"/>
                <w:szCs w:val="24"/>
              </w:rPr>
              <w:t xml:space="preserve"> kūrimo </w:t>
            </w: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 grupė numatys kiemo erdvių pritaikymo galimybes, mokytojai grupėse, STEAM laboratorijoje. PU vaikai ugdosi maksimaliai pritaikytose edukacinėse aplinkose.</w:t>
            </w:r>
          </w:p>
        </w:tc>
      </w:tr>
      <w:tr w:rsidR="002E115C" w:rsidRPr="0086404D" w:rsidTr="005D14AD">
        <w:tc>
          <w:tcPr>
            <w:tcW w:w="1123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52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PUT planavimas elektroniniame dienyne “Mūsų darželis”.</w:t>
            </w:r>
          </w:p>
        </w:tc>
        <w:tc>
          <w:tcPr>
            <w:tcW w:w="2286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Iki 2023 gruodžio 31 d.</w:t>
            </w:r>
          </w:p>
        </w:tc>
        <w:tc>
          <w:tcPr>
            <w:tcW w:w="1633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90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Direktoriaus pavaduotoja ugdymui, metodinė grupė</w:t>
            </w:r>
          </w:p>
        </w:tc>
        <w:tc>
          <w:tcPr>
            <w:tcW w:w="3709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Atnaujinta PU vaikų veiklų planavimo forma elektroniniame dienine „Mūsų darželis“, pedagogai planuoja atsižvelgiant PUTA rekomendacijas.</w:t>
            </w:r>
          </w:p>
        </w:tc>
      </w:tr>
      <w:tr w:rsidR="002E115C" w:rsidRPr="0086404D" w:rsidTr="005D14AD">
        <w:tc>
          <w:tcPr>
            <w:tcW w:w="1123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52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Priešmokyklinio amžiaus vaikų vertinimo tvarkos aprašo atnaujinimas.</w:t>
            </w:r>
          </w:p>
        </w:tc>
        <w:tc>
          <w:tcPr>
            <w:tcW w:w="2286" w:type="dxa"/>
          </w:tcPr>
          <w:p w:rsidR="002E115C" w:rsidRPr="0086404D" w:rsidRDefault="005D14A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2022 gruodžio 31 d.</w:t>
            </w:r>
          </w:p>
        </w:tc>
        <w:tc>
          <w:tcPr>
            <w:tcW w:w="1633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90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Direktoriaus pavaduotoja ugdymui, metodinė grupė</w:t>
            </w:r>
          </w:p>
        </w:tc>
        <w:tc>
          <w:tcPr>
            <w:tcW w:w="3709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Atnaujinta priešmokyklinio amžiaus vaikų vertinimo forma ir tvarka, priešmokyklinio ugdymo pedagogai vertina atsižvelgiant į PUTA rekomendacijas.</w:t>
            </w:r>
          </w:p>
        </w:tc>
      </w:tr>
      <w:tr w:rsidR="00E540FC" w:rsidRPr="0086404D" w:rsidTr="005E5FE6">
        <w:tc>
          <w:tcPr>
            <w:tcW w:w="13993" w:type="dxa"/>
            <w:gridSpan w:val="6"/>
          </w:tcPr>
          <w:p w:rsidR="005D14AD" w:rsidRPr="005D14AD" w:rsidRDefault="00E540FC" w:rsidP="002E1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AD">
              <w:rPr>
                <w:rFonts w:ascii="Times New Roman" w:hAnsi="Times New Roman" w:cs="Times New Roman"/>
                <w:b/>
                <w:sz w:val="24"/>
                <w:szCs w:val="24"/>
              </w:rPr>
              <w:t>3 uždavinys. Organizuoti PUTA p</w:t>
            </w:r>
            <w:r w:rsidR="005D14AD">
              <w:rPr>
                <w:rFonts w:ascii="Times New Roman" w:hAnsi="Times New Roman" w:cs="Times New Roman"/>
                <w:b/>
                <w:sz w:val="24"/>
                <w:szCs w:val="24"/>
              </w:rPr>
              <w:t>roceso veiklų sklaidą įstaigoje</w:t>
            </w:r>
          </w:p>
        </w:tc>
      </w:tr>
      <w:tr w:rsidR="002E115C" w:rsidRPr="0086404D" w:rsidTr="005D14AD">
        <w:tc>
          <w:tcPr>
            <w:tcW w:w="1123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52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Projektinio metodo taikymas, organizuojant ugdymo veiklas ir atvirų STEAM ugdymo veiklų pristatymas įstaigoje</w:t>
            </w:r>
          </w:p>
        </w:tc>
        <w:tc>
          <w:tcPr>
            <w:tcW w:w="2286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Iki 2023 birželio mėn.</w:t>
            </w:r>
          </w:p>
        </w:tc>
        <w:tc>
          <w:tcPr>
            <w:tcW w:w="1633" w:type="dxa"/>
          </w:tcPr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90" w:type="dxa"/>
          </w:tcPr>
          <w:p w:rsidR="00E540F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Direktorius, </w:t>
            </w:r>
          </w:p>
          <w:p w:rsidR="002E115C" w:rsidRPr="0086404D" w:rsidRDefault="00E540FC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direktoriaus pavaduotoja ugdymui, mokytojai</w:t>
            </w:r>
          </w:p>
        </w:tc>
        <w:tc>
          <w:tcPr>
            <w:tcW w:w="3709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Mokytojai dalinasi gerąją patirtimi, tobulėja stebėdami STEAM veiklas, analizuoja organizuojamo ugdymo stipriąsias ir silpnąsias puses</w:t>
            </w:r>
          </w:p>
        </w:tc>
      </w:tr>
      <w:tr w:rsidR="002E115C" w:rsidRPr="0086404D" w:rsidTr="005D14AD">
        <w:tc>
          <w:tcPr>
            <w:tcW w:w="1123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52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Mokymų ir atvirų veiklų stebėjimo aptarimas</w:t>
            </w:r>
          </w:p>
        </w:tc>
        <w:tc>
          <w:tcPr>
            <w:tcW w:w="2286" w:type="dxa"/>
          </w:tcPr>
          <w:p w:rsidR="002E115C" w:rsidRPr="0086404D" w:rsidRDefault="005D14A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6404D" w:rsidRPr="0086404D">
              <w:rPr>
                <w:rFonts w:ascii="Times New Roman" w:hAnsi="Times New Roman" w:cs="Times New Roman"/>
                <w:sz w:val="24"/>
                <w:szCs w:val="24"/>
              </w:rPr>
              <w:t>ki 2023 m. gruodžio 31 d.</w:t>
            </w:r>
          </w:p>
        </w:tc>
        <w:tc>
          <w:tcPr>
            <w:tcW w:w="1633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90" w:type="dxa"/>
          </w:tcPr>
          <w:p w:rsidR="002E115C" w:rsidRPr="0086404D" w:rsidRDefault="005D14A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</w:t>
            </w:r>
            <w:r w:rsidR="0086404D" w:rsidRPr="0086404D">
              <w:rPr>
                <w:rFonts w:ascii="Times New Roman" w:hAnsi="Times New Roman" w:cs="Times New Roman"/>
                <w:sz w:val="24"/>
                <w:szCs w:val="24"/>
              </w:rPr>
              <w:t>irektoriaus pavaduotoja ugdymui, mokytojai</w:t>
            </w:r>
          </w:p>
        </w:tc>
        <w:tc>
          <w:tcPr>
            <w:tcW w:w="3709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5D14AD">
              <w:rPr>
                <w:rFonts w:ascii="Times New Roman" w:hAnsi="Times New Roman" w:cs="Times New Roman"/>
                <w:sz w:val="24"/>
                <w:szCs w:val="24"/>
              </w:rPr>
              <w:t>kytojų metodiniuose pasitarimuose</w:t>
            </w: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 apibendrinamos stebėtos veiklos, mokytojai mokosi iš gerų pavyzdžių</w:t>
            </w:r>
          </w:p>
        </w:tc>
      </w:tr>
      <w:tr w:rsidR="0086404D" w:rsidRPr="0086404D" w:rsidTr="00D935F7">
        <w:tc>
          <w:tcPr>
            <w:tcW w:w="13993" w:type="dxa"/>
            <w:gridSpan w:val="6"/>
          </w:tcPr>
          <w:p w:rsidR="0086404D" w:rsidRPr="005D14AD" w:rsidRDefault="0086404D" w:rsidP="0086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AD">
              <w:rPr>
                <w:rFonts w:ascii="Times New Roman" w:hAnsi="Times New Roman" w:cs="Times New Roman"/>
                <w:b/>
                <w:sz w:val="24"/>
                <w:szCs w:val="24"/>
              </w:rPr>
              <w:t>4 uždavinys. Vykdyti pasiruošimo proceso stebėsen</w:t>
            </w:r>
            <w:r w:rsidR="005D14AD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</w:p>
          <w:p w:rsidR="0086404D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5C" w:rsidRPr="0086404D" w:rsidTr="005D14AD">
        <w:tc>
          <w:tcPr>
            <w:tcW w:w="1123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52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PUT </w:t>
            </w:r>
            <w:r w:rsidR="005D14AD">
              <w:rPr>
                <w:rFonts w:ascii="Times New Roman" w:hAnsi="Times New Roman" w:cs="Times New Roman"/>
                <w:sz w:val="24"/>
                <w:szCs w:val="24"/>
              </w:rPr>
              <w:t>planavimo priežiūra, vertinimas</w:t>
            </w:r>
          </w:p>
        </w:tc>
        <w:tc>
          <w:tcPr>
            <w:tcW w:w="2286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Iki 2023 m. birželio 30 d.</w:t>
            </w:r>
          </w:p>
        </w:tc>
        <w:tc>
          <w:tcPr>
            <w:tcW w:w="1633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90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709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Elektroniniame „Mūsų darželis“ dienyne vadovai atlieka planavimo analizę ir mokytojų pasitarimų metu aptariama, esant poreikiui tobulinamas ugdymo turinio planavimas.</w:t>
            </w:r>
          </w:p>
        </w:tc>
      </w:tr>
      <w:tr w:rsidR="002E115C" w:rsidRPr="0086404D" w:rsidTr="005D14AD">
        <w:tc>
          <w:tcPr>
            <w:tcW w:w="1123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52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Priešmokyklinio ugdymo vaikų pažangos ir pasiekimų vertinimo priežiūra</w:t>
            </w:r>
          </w:p>
        </w:tc>
        <w:tc>
          <w:tcPr>
            <w:tcW w:w="2286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Iki 2023 m. birželio 10 d</w:t>
            </w:r>
          </w:p>
        </w:tc>
        <w:tc>
          <w:tcPr>
            <w:tcW w:w="1633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90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709" w:type="dxa"/>
          </w:tcPr>
          <w:p w:rsidR="002E115C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Stebimas mokytojų atliekamas vaikų pasiekimų ir pažangos vertinimas bei fiksavimas, apibendrintos vertinimo informacijos perdavimas tėvams, mokytojų ir tėvų bendradarbiavimas.</w:t>
            </w:r>
          </w:p>
        </w:tc>
      </w:tr>
      <w:tr w:rsidR="0086404D" w:rsidRPr="0086404D" w:rsidTr="005D14AD">
        <w:tc>
          <w:tcPr>
            <w:tcW w:w="1123" w:type="dxa"/>
          </w:tcPr>
          <w:p w:rsidR="0086404D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52" w:type="dxa"/>
          </w:tcPr>
          <w:p w:rsidR="0086404D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PUT A pasirengimo ir vykdymo rezultatų aptarimas, apibendrinimas</w:t>
            </w:r>
          </w:p>
        </w:tc>
        <w:tc>
          <w:tcPr>
            <w:tcW w:w="2286" w:type="dxa"/>
          </w:tcPr>
          <w:p w:rsidR="0086404D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Iki 2023 m. gegužės 30 d.</w:t>
            </w:r>
          </w:p>
        </w:tc>
        <w:tc>
          <w:tcPr>
            <w:tcW w:w="1633" w:type="dxa"/>
          </w:tcPr>
          <w:p w:rsidR="0086404D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86404D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</w:t>
            </w:r>
          </w:p>
        </w:tc>
        <w:tc>
          <w:tcPr>
            <w:tcW w:w="3709" w:type="dxa"/>
          </w:tcPr>
          <w:p w:rsidR="0086404D" w:rsidRPr="0086404D" w:rsidRDefault="0086404D" w:rsidP="002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Posėdžio metu apibendrinamos mokytojų turimos ir trūkstamos kompetencijos PUTA įgyvendinimui, esant poreikiui sudaromas tolimesnis veiksmų planas mokytojų kompetencijų tobulinimui.</w:t>
            </w:r>
          </w:p>
        </w:tc>
      </w:tr>
    </w:tbl>
    <w:p w:rsidR="002E115C" w:rsidRDefault="002E115C" w:rsidP="002E1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4AD" w:rsidRDefault="005D14AD" w:rsidP="002E1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4AD" w:rsidRDefault="0033351E" w:rsidP="002E1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SUDERINTA</w:t>
      </w:r>
    </w:p>
    <w:p w:rsidR="0033351E" w:rsidRDefault="0033351E" w:rsidP="002E1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Panevėžio lopšelio-darželio „ Riešutėlis“</w:t>
      </w:r>
    </w:p>
    <w:p w:rsidR="0033351E" w:rsidRPr="0086404D" w:rsidRDefault="0033351E" w:rsidP="002E1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 tarybos posėdyje 2022-09-08 protokolu Nr.</w:t>
      </w:r>
      <w:r w:rsidR="00C0662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DD23A9" w:rsidRPr="0086404D" w:rsidRDefault="00DD23A9">
      <w:pPr>
        <w:rPr>
          <w:rFonts w:ascii="Times New Roman" w:hAnsi="Times New Roman" w:cs="Times New Roman"/>
          <w:sz w:val="24"/>
          <w:szCs w:val="24"/>
        </w:rPr>
      </w:pPr>
    </w:p>
    <w:sectPr w:rsidR="00DD23A9" w:rsidRPr="0086404D" w:rsidSect="002E11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5C"/>
    <w:rsid w:val="002E115C"/>
    <w:rsid w:val="0033351E"/>
    <w:rsid w:val="005D14AD"/>
    <w:rsid w:val="005E219B"/>
    <w:rsid w:val="0086404D"/>
    <w:rsid w:val="00C0662C"/>
    <w:rsid w:val="00C61F6A"/>
    <w:rsid w:val="00DD23A9"/>
    <w:rsid w:val="00E540FC"/>
    <w:rsid w:val="00E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8C34"/>
  <w15:chartTrackingRefBased/>
  <w15:docId w15:val="{E3A91A8C-4D44-4DFF-B7B3-B886EC2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3110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2022-09-26T10:14:00Z</dcterms:created>
  <dcterms:modified xsi:type="dcterms:W3CDTF">2022-10-03T07:31:00Z</dcterms:modified>
</cp:coreProperties>
</file>